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文件编号：BJ-WYGS-PZ-004                                                      版本：2016版</w:t>
      </w:r>
    </w:p>
    <w:p>
      <w:pPr>
        <w:spacing w:line="580" w:lineRule="exact"/>
        <w:jc w:val="center"/>
        <w:rPr>
          <w:rFonts w:ascii="Times New Roman" w:hAnsi="Times New Roman" w:eastAsia="小标宋" w:cs="Times New Roman"/>
          <w:sz w:val="44"/>
          <w:szCs w:val="44"/>
        </w:rPr>
      </w:pPr>
    </w:p>
    <w:p>
      <w:pPr>
        <w:spacing w:line="580" w:lineRule="exact"/>
        <w:jc w:val="center"/>
        <w:rPr>
          <w:rFonts w:ascii="Times New Roman" w:hAnsi="Times New Roman" w:eastAsia="小标宋" w:cs="Times New Roman"/>
          <w:sz w:val="44"/>
          <w:szCs w:val="44"/>
        </w:rPr>
      </w:pPr>
      <w:r>
        <w:rPr>
          <w:rFonts w:hint="eastAsia" w:ascii="Times New Roman" w:hAnsi="Times New Roman" w:eastAsia="小标宋" w:cs="Times New Roman"/>
          <w:sz w:val="44"/>
          <w:szCs w:val="44"/>
        </w:rPr>
        <w:t>中铁建（北京）物业管理有限公司</w:t>
      </w:r>
    </w:p>
    <w:p>
      <w:pPr>
        <w:spacing w:line="580" w:lineRule="exact"/>
        <w:jc w:val="center"/>
        <w:rPr>
          <w:rFonts w:ascii="Times New Roman" w:hAnsi="Times New Roman" w:eastAsia="小标宋" w:cs="Times New Roman"/>
          <w:sz w:val="44"/>
          <w:szCs w:val="44"/>
        </w:rPr>
      </w:pPr>
      <w:r>
        <w:rPr>
          <w:rFonts w:hint="eastAsia" w:ascii="Times New Roman" w:hAnsi="Times New Roman" w:eastAsia="小标宋" w:cs="Times New Roman"/>
          <w:sz w:val="44"/>
          <w:szCs w:val="44"/>
        </w:rPr>
        <w:t>满意度调查管理办法</w:t>
      </w:r>
    </w:p>
    <w:p>
      <w:pPr>
        <w:spacing w:line="580" w:lineRule="exact"/>
        <w:jc w:val="center"/>
        <w:rPr>
          <w:rFonts w:asciiTheme="minorEastAsia" w:hAnsiTheme="minorEastAsia" w:cstheme="minorEastAsia"/>
          <w:sz w:val="30"/>
          <w:szCs w:val="30"/>
        </w:rPr>
      </w:pPr>
    </w:p>
    <w:p>
      <w:pPr>
        <w:spacing w:line="58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文件更新履历表</w:t>
      </w:r>
    </w:p>
    <w:tbl>
      <w:tblPr>
        <w:tblStyle w:val="6"/>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43"/>
        <w:gridCol w:w="1559"/>
        <w:gridCol w:w="1418"/>
        <w:gridCol w:w="1417"/>
        <w:gridCol w:w="992"/>
        <w:gridCol w:w="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17"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版本</w:t>
            </w:r>
          </w:p>
        </w:tc>
        <w:tc>
          <w:tcPr>
            <w:tcW w:w="1843"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文件名称</w:t>
            </w:r>
          </w:p>
        </w:tc>
        <w:tc>
          <w:tcPr>
            <w:tcW w:w="1559"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文件编号</w:t>
            </w:r>
          </w:p>
        </w:tc>
        <w:tc>
          <w:tcPr>
            <w:tcW w:w="1418"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管理归属部门</w:t>
            </w:r>
          </w:p>
        </w:tc>
        <w:tc>
          <w:tcPr>
            <w:tcW w:w="1417"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文件管理岗位</w:t>
            </w:r>
          </w:p>
        </w:tc>
        <w:tc>
          <w:tcPr>
            <w:tcW w:w="992"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生效日期</w:t>
            </w:r>
          </w:p>
        </w:tc>
        <w:tc>
          <w:tcPr>
            <w:tcW w:w="595"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17"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2016版</w:t>
            </w:r>
          </w:p>
        </w:tc>
        <w:tc>
          <w:tcPr>
            <w:tcW w:w="1843"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满意度调查管理办法</w:t>
            </w:r>
          </w:p>
        </w:tc>
        <w:tc>
          <w:tcPr>
            <w:tcW w:w="1559" w:type="dxa"/>
          </w:tcPr>
          <w:p>
            <w:pPr>
              <w:spacing w:line="580" w:lineRule="exact"/>
              <w:jc w:val="center"/>
              <w:rPr>
                <w:rFonts w:asciiTheme="minorEastAsia" w:hAnsiTheme="minorEastAsia" w:cstheme="minorEastAsia"/>
                <w:kern w:val="0"/>
                <w:sz w:val="18"/>
                <w:szCs w:val="18"/>
              </w:rPr>
            </w:pPr>
            <w:r>
              <w:rPr>
                <w:rFonts w:hint="eastAsia" w:asciiTheme="majorEastAsia" w:hAnsiTheme="majorEastAsia" w:eastAsiaTheme="majorEastAsia" w:cstheme="majorEastAsia"/>
                <w:kern w:val="0"/>
                <w:sz w:val="18"/>
                <w:szCs w:val="18"/>
              </w:rPr>
              <w:t xml:space="preserve">BJ-WYGS-PZ-004    </w:t>
            </w:r>
          </w:p>
        </w:tc>
        <w:tc>
          <w:tcPr>
            <w:tcW w:w="1418"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品质管理部</w:t>
            </w:r>
          </w:p>
        </w:tc>
        <w:tc>
          <w:tcPr>
            <w:tcW w:w="1417"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品质管理岗</w:t>
            </w:r>
          </w:p>
        </w:tc>
        <w:tc>
          <w:tcPr>
            <w:tcW w:w="992" w:type="dxa"/>
          </w:tcPr>
          <w:p>
            <w:pPr>
              <w:spacing w:line="580" w:lineRule="exact"/>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2016.</w:t>
            </w:r>
            <w:r>
              <w:rPr>
                <w:rFonts w:hint="eastAsia" w:asciiTheme="minorEastAsia" w:hAnsiTheme="minorEastAsia" w:cstheme="minorEastAsia"/>
                <w:kern w:val="0"/>
                <w:sz w:val="18"/>
                <w:szCs w:val="18"/>
                <w:lang w:val="en-US" w:eastAsia="zh-CN"/>
              </w:rPr>
              <w:t>8</w:t>
            </w:r>
          </w:p>
        </w:tc>
        <w:tc>
          <w:tcPr>
            <w:tcW w:w="595" w:type="dxa"/>
          </w:tcPr>
          <w:p>
            <w:pPr>
              <w:spacing w:line="580" w:lineRule="exact"/>
              <w:jc w:val="center"/>
              <w:rPr>
                <w:rFonts w:asciiTheme="minorEastAsia" w:hAnsiTheme="minorEastAsia" w:cs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17" w:type="dxa"/>
          </w:tcPr>
          <w:p>
            <w:pPr>
              <w:spacing w:line="580" w:lineRule="exact"/>
              <w:jc w:val="center"/>
              <w:rPr>
                <w:rFonts w:asciiTheme="minorEastAsia" w:hAnsiTheme="minorEastAsia" w:cstheme="minorEastAsia"/>
                <w:kern w:val="0"/>
                <w:sz w:val="18"/>
                <w:szCs w:val="18"/>
              </w:rPr>
            </w:pPr>
          </w:p>
        </w:tc>
        <w:tc>
          <w:tcPr>
            <w:tcW w:w="1843" w:type="dxa"/>
          </w:tcPr>
          <w:p>
            <w:pPr>
              <w:spacing w:line="580" w:lineRule="exact"/>
              <w:jc w:val="center"/>
              <w:rPr>
                <w:rFonts w:asciiTheme="minorEastAsia" w:hAnsiTheme="minorEastAsia" w:cstheme="minorEastAsia"/>
                <w:kern w:val="0"/>
                <w:sz w:val="18"/>
                <w:szCs w:val="18"/>
              </w:rPr>
            </w:pPr>
          </w:p>
        </w:tc>
        <w:tc>
          <w:tcPr>
            <w:tcW w:w="1559" w:type="dxa"/>
          </w:tcPr>
          <w:p>
            <w:pPr>
              <w:spacing w:line="580" w:lineRule="exact"/>
              <w:jc w:val="center"/>
              <w:rPr>
                <w:rFonts w:asciiTheme="minorEastAsia" w:hAnsiTheme="minorEastAsia" w:cstheme="minorEastAsia"/>
                <w:kern w:val="0"/>
                <w:sz w:val="18"/>
                <w:szCs w:val="18"/>
              </w:rPr>
            </w:pPr>
          </w:p>
        </w:tc>
        <w:tc>
          <w:tcPr>
            <w:tcW w:w="1418" w:type="dxa"/>
          </w:tcPr>
          <w:p>
            <w:pPr>
              <w:spacing w:line="580" w:lineRule="exact"/>
              <w:jc w:val="center"/>
              <w:rPr>
                <w:rFonts w:asciiTheme="minorEastAsia" w:hAnsiTheme="minorEastAsia" w:cstheme="minorEastAsia"/>
                <w:kern w:val="0"/>
                <w:sz w:val="18"/>
                <w:szCs w:val="18"/>
              </w:rPr>
            </w:pPr>
          </w:p>
        </w:tc>
        <w:tc>
          <w:tcPr>
            <w:tcW w:w="1417" w:type="dxa"/>
          </w:tcPr>
          <w:p>
            <w:pPr>
              <w:spacing w:line="580" w:lineRule="exact"/>
              <w:jc w:val="center"/>
              <w:rPr>
                <w:rFonts w:asciiTheme="minorEastAsia" w:hAnsiTheme="minorEastAsia" w:cstheme="minorEastAsia"/>
                <w:kern w:val="0"/>
                <w:sz w:val="18"/>
                <w:szCs w:val="18"/>
              </w:rPr>
            </w:pPr>
          </w:p>
        </w:tc>
        <w:tc>
          <w:tcPr>
            <w:tcW w:w="992" w:type="dxa"/>
          </w:tcPr>
          <w:p>
            <w:pPr>
              <w:spacing w:line="580" w:lineRule="exact"/>
              <w:jc w:val="center"/>
              <w:rPr>
                <w:rFonts w:asciiTheme="minorEastAsia" w:hAnsiTheme="minorEastAsia" w:cstheme="minorEastAsia"/>
                <w:kern w:val="0"/>
                <w:sz w:val="18"/>
                <w:szCs w:val="18"/>
              </w:rPr>
            </w:pPr>
          </w:p>
        </w:tc>
        <w:tc>
          <w:tcPr>
            <w:tcW w:w="595" w:type="dxa"/>
          </w:tcPr>
          <w:p>
            <w:pPr>
              <w:spacing w:line="580" w:lineRule="exact"/>
              <w:jc w:val="center"/>
              <w:rPr>
                <w:rFonts w:asciiTheme="minorEastAsia" w:hAnsiTheme="minorEastAsia" w:cstheme="minorEastAsia"/>
                <w:kern w:val="0"/>
                <w:sz w:val="18"/>
                <w:szCs w:val="18"/>
              </w:rPr>
            </w:pPr>
          </w:p>
        </w:tc>
      </w:tr>
    </w:tbl>
    <w:p>
      <w:pPr>
        <w:pStyle w:val="7"/>
        <w:spacing w:line="360" w:lineRule="auto"/>
        <w:ind w:firstLine="0" w:firstLineChars="0"/>
        <w:rPr>
          <w:rFonts w:ascii="黑体" w:eastAsia="黑体" w:hAnsiTheme="minorEastAsia"/>
          <w:sz w:val="32"/>
          <w:szCs w:val="32"/>
        </w:rPr>
      </w:pPr>
    </w:p>
    <w:p>
      <w:pPr>
        <w:pStyle w:val="7"/>
        <w:numPr>
          <w:ilvl w:val="0"/>
          <w:numId w:val="1"/>
        </w:numPr>
        <w:spacing w:line="360" w:lineRule="auto"/>
        <w:ind w:left="0" w:firstLine="0" w:firstLineChars="0"/>
        <w:jc w:val="center"/>
        <w:rPr>
          <w:rFonts w:ascii="黑体" w:hAnsi="黑体" w:eastAsia="黑体"/>
          <w:sz w:val="30"/>
          <w:szCs w:val="30"/>
        </w:rPr>
      </w:pPr>
      <w:r>
        <w:rPr>
          <w:rFonts w:hint="eastAsia" w:ascii="黑体" w:hAnsi="黑体" w:eastAsia="黑体"/>
          <w:sz w:val="30"/>
          <w:szCs w:val="30"/>
        </w:rPr>
        <w:t>总  则</w:t>
      </w:r>
      <w:bookmarkStart w:id="0" w:name="_GoBack"/>
      <w:bookmarkEnd w:id="0"/>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为规范中铁建（北京）物业管理有限公司（以下简称“物业公司”）的满意度调查管理要求，结合物业公司实际，制定本办法。</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本办法适用于物业公司及所属各单位所有品质管控项目。所属各单位指物业公司各分公司和项目部。</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本办法所称满意度调查管理工作，包括满意度调查、分析改进、结果运用等。</w:t>
      </w:r>
    </w:p>
    <w:p>
      <w:pPr>
        <w:pStyle w:val="7"/>
        <w:numPr>
          <w:ilvl w:val="0"/>
          <w:numId w:val="1"/>
        </w:numPr>
        <w:spacing w:line="360" w:lineRule="auto"/>
        <w:ind w:left="0" w:firstLine="0" w:firstLineChars="0"/>
        <w:jc w:val="center"/>
        <w:rPr>
          <w:rFonts w:ascii="黑体" w:hAnsi="黑体" w:eastAsia="黑体"/>
          <w:sz w:val="30"/>
          <w:szCs w:val="30"/>
        </w:rPr>
      </w:pPr>
      <w:r>
        <w:rPr>
          <w:rFonts w:hint="eastAsia" w:ascii="黑体" w:hAnsi="黑体" w:eastAsia="黑体"/>
          <w:sz w:val="30"/>
          <w:szCs w:val="30"/>
        </w:rPr>
        <w:t>满意度调查管理的建设和方法</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满意度调查的方式分为三种，分别是上门拜访问卷调查、应用技术软件调查和引入第三方调查。</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品质管理部负责组织满意度调查的实施工作，其他业务部门协调配合。</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满意度调查的频次规定：总部品质部对各分公司做年度满意度调查为每年一次。</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总部品质部于每年择机对各分公司做年度满意度调查，通过技术软件应用，直接随机发送客户满意度调查问卷于业主手机，调查结果取全国各分公司满意度调查平均分，平均分为及格线，进行全国排名。</w:t>
      </w:r>
    </w:p>
    <w:p>
      <w:pPr>
        <w:pStyle w:val="7"/>
        <w:spacing w:line="360" w:lineRule="auto"/>
        <w:ind w:firstLine="0" w:firstLineChars="0"/>
        <w:jc w:val="center"/>
        <w:rPr>
          <w:rFonts w:ascii="黑体" w:hAnsi="黑体" w:eastAsia="黑体"/>
          <w:sz w:val="30"/>
          <w:szCs w:val="30"/>
        </w:rPr>
      </w:pPr>
      <w:r>
        <w:rPr>
          <w:rFonts w:hint="eastAsia" w:ascii="黑体" w:hAnsi="黑体" w:eastAsia="黑体"/>
          <w:sz w:val="30"/>
          <w:szCs w:val="30"/>
        </w:rPr>
        <w:t>第三章 满意度调查结果分析</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通过满意度调查，分析公司整体服务水平，对调查反映出来的服务过程弱项及缺陷制定整改措施。</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依据满意度调研结果，分析满意度推进中存在的共性问题，完善满意度推进思路。</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依据调查结果专项整改。总部品质部组织相应环节负责人进行分析剖析，找出问题症结并制定改进措施，通过下达专项整改单的方式，要求限期整改，督促相应环节进行改进完善。</w:t>
      </w:r>
    </w:p>
    <w:p>
      <w:pPr>
        <w:pStyle w:val="7"/>
        <w:spacing w:line="360" w:lineRule="auto"/>
        <w:ind w:firstLine="0" w:firstLineChars="0"/>
        <w:jc w:val="center"/>
        <w:rPr>
          <w:rFonts w:hint="eastAsia" w:ascii="黑体" w:hAnsi="黑体" w:eastAsia="黑体"/>
          <w:sz w:val="30"/>
          <w:szCs w:val="30"/>
        </w:rPr>
      </w:pPr>
      <w:r>
        <w:rPr>
          <w:rFonts w:hint="eastAsia" w:ascii="黑体" w:hAnsi="黑体" w:eastAsia="黑体"/>
          <w:sz w:val="30"/>
          <w:szCs w:val="30"/>
          <w:lang w:eastAsia="zh-CN"/>
        </w:rPr>
        <w:t>第四章</w:t>
      </w:r>
      <w:r>
        <w:rPr>
          <w:rFonts w:hint="eastAsia" w:ascii="黑体" w:hAnsi="黑体" w:eastAsia="黑体"/>
          <w:sz w:val="30"/>
          <w:szCs w:val="30"/>
          <w:lang w:val="en-US" w:eastAsia="zh-CN"/>
        </w:rPr>
        <w:t xml:space="preserve"> </w:t>
      </w:r>
      <w:r>
        <w:rPr>
          <w:rFonts w:hint="eastAsia" w:ascii="黑体" w:hAnsi="黑体" w:eastAsia="黑体"/>
          <w:sz w:val="30"/>
          <w:szCs w:val="30"/>
        </w:rPr>
        <w:t>满意度调查整改验证</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总部品质部依据年度满意度调查结果，组织绩效考核；</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总部品质部负责分析项目存在的共性问题，拟定总部层面整改提升举措，推动改进，形成改进报告；</w:t>
      </w:r>
    </w:p>
    <w:p>
      <w:pPr>
        <w:pStyle w:val="7"/>
        <w:spacing w:line="360" w:lineRule="auto"/>
        <w:ind w:firstLine="0" w:firstLineChars="0"/>
        <w:jc w:val="center"/>
        <w:rPr>
          <w:rFonts w:hint="eastAsia" w:ascii="黑体" w:hAnsi="黑体" w:eastAsia="黑体"/>
          <w:sz w:val="30"/>
          <w:szCs w:val="30"/>
          <w:lang w:eastAsia="zh-CN"/>
        </w:rPr>
      </w:pPr>
      <w:r>
        <w:rPr>
          <w:rFonts w:hint="eastAsia" w:ascii="黑体" w:hAnsi="黑体" w:eastAsia="黑体"/>
          <w:sz w:val="30"/>
          <w:szCs w:val="30"/>
          <w:lang w:eastAsia="zh-CN"/>
        </w:rPr>
        <w:t>第五章</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满意度调查办法管理</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品质管理部是物业公司满意度调查管理办法的归口管理部门。所属单位满意度调查管理办法的归口管理部门是品质管理部或专兼职品质管理人员所在部门。</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物业公司品质管理部的满意度调查管理办法应明确所属单位是否需要另行制定实施细则。未明确提出要求的，所属单位可以参照品质管理部制定的规章制度执行。</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满意度调查管理办法在实际运行中，如发现任何疑问，所属单位品质管理部或专兼职品质管理人员都应当及时将问题反馈给品质管理部，以便解决问题和完善管理办法。</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品质管理部负责物业公司满意度调查管理办法的拟定、修订、发布、废止、解释等工作。</w:t>
      </w:r>
    </w:p>
    <w:p>
      <w:pPr>
        <w:pStyle w:val="7"/>
        <w:spacing w:line="360" w:lineRule="auto"/>
        <w:ind w:firstLine="0" w:firstLineChars="0"/>
        <w:jc w:val="center"/>
        <w:rPr>
          <w:rFonts w:hint="eastAsia" w:ascii="黑体" w:hAnsi="黑体" w:eastAsia="黑体"/>
          <w:sz w:val="30"/>
          <w:szCs w:val="30"/>
          <w:lang w:eastAsia="zh-CN"/>
        </w:rPr>
      </w:pPr>
      <w:r>
        <w:rPr>
          <w:rFonts w:hint="eastAsia" w:ascii="黑体" w:hAnsi="黑体" w:eastAsia="黑体"/>
          <w:sz w:val="30"/>
          <w:szCs w:val="30"/>
          <w:lang w:eastAsia="zh-CN"/>
        </w:rPr>
        <w:t>第六章</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附则</w:t>
      </w:r>
    </w:p>
    <w:p>
      <w:pPr>
        <w:pStyle w:val="7"/>
        <w:numPr>
          <w:ilvl w:val="0"/>
          <w:numId w:val="2"/>
        </w:numPr>
        <w:spacing w:line="360" w:lineRule="auto"/>
        <w:ind w:left="0" w:firstLine="600"/>
        <w:rPr>
          <w:rFonts w:hint="eastAsia" w:asciiTheme="minorEastAsia" w:hAnsiTheme="minorEastAsia"/>
          <w:sz w:val="30"/>
          <w:szCs w:val="30"/>
        </w:rPr>
      </w:pPr>
      <w:r>
        <w:rPr>
          <w:rFonts w:hint="eastAsia" w:asciiTheme="minorEastAsia" w:hAnsiTheme="minorEastAsia"/>
          <w:sz w:val="30"/>
          <w:szCs w:val="30"/>
        </w:rPr>
        <w:t>本办法由物业公司品质管理部负责解释。</w:t>
      </w:r>
    </w:p>
    <w:p>
      <w:pPr>
        <w:pStyle w:val="7"/>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本办法自印发之日起施行。</w:t>
      </w:r>
    </w:p>
    <w:p>
      <w:pPr>
        <w:pStyle w:val="7"/>
        <w:spacing w:line="360" w:lineRule="auto"/>
        <w:ind w:firstLineChars="0"/>
        <w:jc w:val="left"/>
        <w:rPr>
          <w:rFonts w:asciiTheme="minorEastAsia" w:hAnsiTheme="minorEastAsia"/>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swiss"/>
    <w:pitch w:val="default"/>
    <w:sig w:usb0="00000001" w:usb1="080E0000" w:usb2="00000000" w:usb3="00000000" w:csb0="00040000" w:csb1="00000000"/>
  </w:font>
  <w:font w:name="小标宋">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785"/>
    </w:sdtPr>
    <w:sdtContent>
      <w:sdt>
        <w:sdtPr>
          <w:id w:val="171357217"/>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5C3568"/>
    <w:multiLevelType w:val="multilevel"/>
    <w:tmpl w:val="665C3568"/>
    <w:lvl w:ilvl="0" w:tentative="0">
      <w:start w:val="1"/>
      <w:numFmt w:val="japaneseCounting"/>
      <w:lvlText w:val="第%1条"/>
      <w:lvlJc w:val="left"/>
      <w:pPr>
        <w:ind w:left="1550" w:hanging="840"/>
      </w:pPr>
      <w:rPr>
        <w:rFonts w:hint="eastAsia" w:ascii="仿宋_GB2312" w:eastAsia="仿宋_GB2312"/>
        <w:b/>
        <w:sz w:val="32"/>
        <w:szCs w:val="32"/>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4B4417"/>
    <w:multiLevelType w:val="multilevel"/>
    <w:tmpl w:val="734B4417"/>
    <w:lvl w:ilvl="0" w:tentative="0">
      <w:start w:val="1"/>
      <w:numFmt w:val="japaneseCounting"/>
      <w:lvlText w:val="第%1章"/>
      <w:lvlJc w:val="left"/>
      <w:pPr>
        <w:ind w:left="1720" w:hanging="1080"/>
      </w:pPr>
      <w:rPr>
        <w:rFonts w:hint="default"/>
        <w:b w:val="0"/>
        <w:lang w:val="en-US"/>
      </w:rPr>
    </w:lvl>
    <w:lvl w:ilvl="1" w:tentative="0">
      <w:start w:val="1"/>
      <w:numFmt w:val="decimal"/>
      <w:lvlText w:val="%2."/>
      <w:lvlJc w:val="left"/>
      <w:pPr>
        <w:ind w:left="1795" w:hanging="735"/>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70838"/>
    <w:rsid w:val="000220EC"/>
    <w:rsid w:val="00082D10"/>
    <w:rsid w:val="001158CF"/>
    <w:rsid w:val="00185F1B"/>
    <w:rsid w:val="00265CE0"/>
    <w:rsid w:val="002E28B6"/>
    <w:rsid w:val="00304420"/>
    <w:rsid w:val="0035778E"/>
    <w:rsid w:val="00454D04"/>
    <w:rsid w:val="00501BE3"/>
    <w:rsid w:val="00512C16"/>
    <w:rsid w:val="005E350F"/>
    <w:rsid w:val="006C35BF"/>
    <w:rsid w:val="0073742E"/>
    <w:rsid w:val="00751FB8"/>
    <w:rsid w:val="00770838"/>
    <w:rsid w:val="00855734"/>
    <w:rsid w:val="008858EA"/>
    <w:rsid w:val="00A84BE4"/>
    <w:rsid w:val="00AC3922"/>
    <w:rsid w:val="00AD4416"/>
    <w:rsid w:val="00B64BA6"/>
    <w:rsid w:val="00BA1728"/>
    <w:rsid w:val="00C85EEC"/>
    <w:rsid w:val="00D1560E"/>
    <w:rsid w:val="00D77C29"/>
    <w:rsid w:val="00DC5F3A"/>
    <w:rsid w:val="00E47753"/>
    <w:rsid w:val="00E651C0"/>
    <w:rsid w:val="00EA79B3"/>
    <w:rsid w:val="00F32237"/>
    <w:rsid w:val="00F5793F"/>
    <w:rsid w:val="00F7636A"/>
    <w:rsid w:val="043F475E"/>
    <w:rsid w:val="690C4C3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spacing w:line="240" w:lineRule="auto"/>
      <w:jc w:val="left"/>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列出段落1"/>
    <w:basedOn w:val="1"/>
    <w:qFormat/>
    <w:uiPriority w:val="34"/>
    <w:pPr>
      <w:ind w:firstLine="420" w:firstLineChars="200"/>
    </w:pPr>
  </w:style>
  <w:style w:type="paragraph" w:customStyle="1" w:styleId="8">
    <w:name w:val="List Paragraph"/>
    <w:basedOn w:val="1"/>
    <w:qFormat/>
    <w:uiPriority w:val="34"/>
    <w:pPr>
      <w:ind w:firstLine="420" w:firstLineChars="200"/>
    </w:pPr>
  </w:style>
  <w:style w:type="character" w:customStyle="1" w:styleId="9">
    <w:name w:val="页眉 Char"/>
    <w:basedOn w:val="4"/>
    <w:link w:val="3"/>
    <w:semiHidden/>
    <w:qFormat/>
    <w:uiPriority w:val="99"/>
    <w:rPr>
      <w:sz w:val="18"/>
      <w:szCs w:val="18"/>
    </w:rPr>
  </w:style>
  <w:style w:type="character" w:customStyle="1" w:styleId="10">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169</Words>
  <Characters>964</Characters>
  <Lines>8</Lines>
  <Paragraphs>2</Paragraphs>
  <ScaleCrop>false</ScaleCrop>
  <LinksUpToDate>false</LinksUpToDate>
  <CharactersWithSpaces>1131</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2016-05-20T02:20:00Z</dcterms:created>
  <dc:creator>白银娜</dc:creator>
  <cp:lastModifiedBy>Lenovo</cp:lastModifiedBy>
  <dcterms:modified xsi:type="dcterms:W3CDTF">2016-08-10T01:52:50Z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